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71" w:rsidRPr="003B4671" w:rsidRDefault="003B4671" w:rsidP="003B4671">
      <w:pPr>
        <w:bidi/>
        <w:ind w:firstLine="282"/>
        <w:jc w:val="both"/>
        <w:rPr>
          <w:rFonts w:cs="Arabic Transparent"/>
          <w:b/>
          <w:bCs/>
          <w:color w:val="5F497A" w:themeColor="accent4" w:themeShade="BF"/>
          <w:sz w:val="6"/>
          <w:szCs w:val="4"/>
          <w:lang w:bidi="ar-MA"/>
        </w:rPr>
      </w:pPr>
    </w:p>
    <w:p w:rsidR="003B4671" w:rsidRPr="003B4671" w:rsidRDefault="003B4671" w:rsidP="003B4671">
      <w:pPr>
        <w:bidi/>
        <w:spacing w:after="120"/>
        <w:ind w:left="425"/>
        <w:rPr>
          <w:rFonts w:cs="Arabic Transparent"/>
          <w:b/>
          <w:bCs/>
          <w:color w:val="1F497D" w:themeColor="text2"/>
          <w:sz w:val="32"/>
          <w:szCs w:val="28"/>
          <w:rtl/>
          <w:lang w:bidi="ar-MA"/>
        </w:rPr>
      </w:pPr>
      <w:bookmarkStart w:id="0" w:name="_GoBack"/>
      <w:bookmarkEnd w:id="0"/>
      <w:r w:rsidRPr="003B4671">
        <w:rPr>
          <w:rFonts w:cs="Arabic Transparent" w:hint="cs"/>
          <w:b/>
          <w:bCs/>
          <w:color w:val="1F497D" w:themeColor="text2"/>
          <w:sz w:val="32"/>
          <w:szCs w:val="28"/>
          <w:rtl/>
          <w:lang w:bidi="ar-MA"/>
        </w:rPr>
        <w:t>أنماط التكوين المهني الأساسي</w:t>
      </w:r>
    </w:p>
    <w:p w:rsidR="003B4671" w:rsidRPr="003B4671" w:rsidRDefault="003B4671" w:rsidP="003B4671">
      <w:pPr>
        <w:bidi/>
        <w:spacing w:after="120"/>
        <w:ind w:left="425"/>
        <w:rPr>
          <w:rFonts w:cs="Arabic Transparent"/>
          <w:b/>
          <w:bCs/>
          <w:color w:val="1F497D" w:themeColor="text2"/>
          <w:sz w:val="28"/>
          <w:szCs w:val="24"/>
          <w:rtl/>
          <w:lang w:bidi="ar-MA"/>
        </w:rPr>
      </w:pPr>
    </w:p>
    <w:p w:rsidR="003B4671" w:rsidRPr="003B4671" w:rsidRDefault="003B4671" w:rsidP="003B4671">
      <w:pPr>
        <w:bidi/>
        <w:ind w:left="359"/>
        <w:rPr>
          <w:rFonts w:cs="Arabic Transparent"/>
          <w:b/>
          <w:bCs/>
          <w:color w:val="C0504D" w:themeColor="accent2"/>
          <w:sz w:val="32"/>
          <w:szCs w:val="28"/>
          <w:lang w:bidi="ar-MA"/>
        </w:rPr>
      </w:pPr>
      <w:r w:rsidRPr="003B4671">
        <w:rPr>
          <w:rFonts w:cs="Arabic Transparent" w:hint="cs"/>
          <w:b/>
          <w:bCs/>
          <w:color w:val="C0504D" w:themeColor="accent2"/>
          <w:sz w:val="32"/>
          <w:szCs w:val="28"/>
          <w:rtl/>
          <w:lang w:bidi="ar-MA"/>
        </w:rPr>
        <w:t>- التكوين داخل المؤسسات</w:t>
      </w:r>
    </w:p>
    <w:p w:rsidR="003B4671" w:rsidRPr="003B4671" w:rsidRDefault="003B4671" w:rsidP="003B4671">
      <w:pPr>
        <w:pStyle w:val="Paragraphedeliste"/>
        <w:bidi/>
        <w:ind w:left="0"/>
        <w:jc w:val="left"/>
        <w:rPr>
          <w:rFonts w:cs="Arabic Transparent"/>
          <w:sz w:val="28"/>
          <w:szCs w:val="26"/>
          <w:rtl/>
          <w:lang w:bidi="ar-MA"/>
        </w:rPr>
      </w:pPr>
      <w:r w:rsidRPr="003B4671">
        <w:rPr>
          <w:rFonts w:cs="Arabic Transparent" w:hint="cs"/>
          <w:sz w:val="28"/>
          <w:szCs w:val="26"/>
          <w:rtl/>
          <w:lang w:bidi="ar-MA"/>
        </w:rPr>
        <w:t xml:space="preserve">     ينظم هذا التكوين بالأساس داخل مؤسسات التكوين بالقطاعين العمومي والخاص مع فترة تدريبية تتراوح بين شهر وشهرين في السنة بالمقاولة ويبقى هذا النمط من التكوين من حيث أعداد المتدربين، النمط الغالب.</w:t>
      </w:r>
    </w:p>
    <w:p w:rsidR="003B4671" w:rsidRPr="003B4671" w:rsidRDefault="003B4671" w:rsidP="003B4671">
      <w:pPr>
        <w:pStyle w:val="Paragraphedeliste"/>
        <w:bidi/>
        <w:ind w:left="0"/>
        <w:jc w:val="both"/>
        <w:rPr>
          <w:rFonts w:cs="Arabic Transparent"/>
          <w:sz w:val="12"/>
          <w:szCs w:val="10"/>
          <w:rtl/>
          <w:lang w:bidi="ar-MA"/>
        </w:rPr>
      </w:pPr>
    </w:p>
    <w:p w:rsidR="003B4671" w:rsidRPr="003B4671" w:rsidRDefault="003B4671" w:rsidP="003B4671">
      <w:pPr>
        <w:pStyle w:val="Paragraphedeliste"/>
        <w:numPr>
          <w:ilvl w:val="0"/>
          <w:numId w:val="2"/>
        </w:numPr>
        <w:bidi/>
        <w:ind w:hanging="218"/>
        <w:jc w:val="left"/>
        <w:rPr>
          <w:rFonts w:cs="Arabic Transparent"/>
          <w:b/>
          <w:bCs/>
          <w:color w:val="C0504D" w:themeColor="accent2"/>
          <w:sz w:val="32"/>
          <w:szCs w:val="28"/>
          <w:lang w:bidi="ar-MA"/>
        </w:rPr>
      </w:pPr>
      <w:r w:rsidRPr="003B4671">
        <w:rPr>
          <w:rFonts w:cs="Arabic Transparent" w:hint="cs"/>
          <w:b/>
          <w:bCs/>
          <w:color w:val="C0504D" w:themeColor="accent2"/>
          <w:sz w:val="32"/>
          <w:szCs w:val="28"/>
          <w:rtl/>
          <w:lang w:bidi="ar-MA"/>
        </w:rPr>
        <w:t>التكوين بالتمرس المهني</w:t>
      </w:r>
    </w:p>
    <w:p w:rsidR="003B4671" w:rsidRPr="003B4671" w:rsidRDefault="003B4671" w:rsidP="003B4671">
      <w:pPr>
        <w:pStyle w:val="Paragraphedeliste"/>
        <w:bidi/>
        <w:ind w:left="0" w:firstLine="567"/>
        <w:jc w:val="left"/>
        <w:rPr>
          <w:rFonts w:cs="Arabic Transparent"/>
          <w:b/>
          <w:bCs/>
          <w:sz w:val="28"/>
          <w:szCs w:val="26"/>
          <w:rtl/>
          <w:lang w:bidi="ar-MA"/>
        </w:rPr>
      </w:pPr>
      <w:r w:rsidRPr="003B4671">
        <w:rPr>
          <w:rFonts w:cs="Arabic Transparent" w:hint="cs"/>
          <w:sz w:val="28"/>
          <w:szCs w:val="26"/>
          <w:rtl/>
          <w:lang w:bidi="ar-MA"/>
        </w:rPr>
        <w:t xml:space="preserve">يرمي </w:t>
      </w:r>
      <w:r w:rsidRPr="003B4671">
        <w:rPr>
          <w:rFonts w:cs="Arabic Transparent" w:hint="cs"/>
          <w:b/>
          <w:bCs/>
          <w:sz w:val="28"/>
          <w:szCs w:val="26"/>
          <w:rtl/>
          <w:lang w:bidi="ar-MA"/>
        </w:rPr>
        <w:t>التمرس المهني</w:t>
      </w:r>
      <w:r w:rsidRPr="003B4671">
        <w:rPr>
          <w:rFonts w:cs="Arabic Transparent" w:hint="cs"/>
          <w:sz w:val="28"/>
          <w:szCs w:val="26"/>
          <w:rtl/>
          <w:lang w:bidi="ar-MA"/>
        </w:rPr>
        <w:t xml:space="preserve">، المحدث بموجب </w:t>
      </w:r>
      <w:r w:rsidRPr="0069207E">
        <w:rPr>
          <w:rFonts w:cs="Arabic Transparent" w:hint="cs"/>
          <w:color w:val="0070C0"/>
          <w:sz w:val="28"/>
          <w:szCs w:val="26"/>
          <w:u w:val="single"/>
          <w:rtl/>
          <w:lang w:bidi="ar-MA"/>
        </w:rPr>
        <w:t>القانون رقم 36.96</w:t>
      </w:r>
      <w:r w:rsidRPr="003B4671">
        <w:rPr>
          <w:rFonts w:cs="Arabic Transparent" w:hint="cs"/>
          <w:sz w:val="28"/>
          <w:szCs w:val="26"/>
          <w:rtl/>
          <w:lang w:bidi="ar-MA"/>
        </w:rPr>
        <w:t xml:space="preserve"> إلى ربط التكوين بالوسط المهني داخل المقاولة بحكم انه </w:t>
      </w:r>
      <w:r w:rsidRPr="003B4671">
        <w:rPr>
          <w:rFonts w:cs="Arabic Transparent" w:hint="cs"/>
          <w:b/>
          <w:bCs/>
          <w:sz w:val="28"/>
          <w:szCs w:val="26"/>
          <w:rtl/>
          <w:lang w:bidi="ar-MA"/>
        </w:rPr>
        <w:t>يتم في فضائين مختلفين ومتكاملين</w:t>
      </w:r>
      <w:r w:rsidRPr="003B4671">
        <w:rPr>
          <w:rFonts w:cs="Arabic Transparent" w:hint="cs"/>
          <w:sz w:val="28"/>
          <w:szCs w:val="26"/>
          <w:rtl/>
          <w:lang w:bidi="ar-MA"/>
        </w:rPr>
        <w:t xml:space="preserve"> حيث يتم بنسبة النصف على الأقل من مدته الإجمالية داخل المقاولة وبنسبة الثلث على الأقل من هذه المدة بمؤسسة التكوين المهني. </w:t>
      </w:r>
      <w:r w:rsidRPr="003B4671">
        <w:rPr>
          <w:rFonts w:cs="Arabic Transparent" w:hint="cs"/>
          <w:b/>
          <w:bCs/>
          <w:sz w:val="28"/>
          <w:szCs w:val="26"/>
          <w:rtl/>
          <w:lang w:bidi="ar-MA"/>
        </w:rPr>
        <w:t>وتخضع علاقة التمرس لعقد يبرم بين صاحب المقاولة والمتمرس. ويؤطر المتمرس داخل المقاولة وصي يعين من قبل المقاولة ويكون المتمرس مؤمنا من طرف مؤسسة التكوين المسجل بها حيث يحتفظ بصفة متدرب.</w:t>
      </w:r>
    </w:p>
    <w:p w:rsidR="003B4671" w:rsidRPr="003B4671" w:rsidRDefault="003B4671" w:rsidP="003B4671">
      <w:pPr>
        <w:pStyle w:val="Paragraphedeliste"/>
        <w:bidi/>
        <w:spacing w:before="120" w:after="240"/>
        <w:ind w:left="357"/>
        <w:jc w:val="left"/>
        <w:rPr>
          <w:rFonts w:cs="Arabic Transparent"/>
          <w:b/>
          <w:bCs/>
          <w:sz w:val="10"/>
          <w:szCs w:val="8"/>
          <w:rtl/>
          <w:lang w:bidi="ar-MA"/>
        </w:rPr>
      </w:pPr>
    </w:p>
    <w:p w:rsidR="003B4671" w:rsidRPr="003B4671" w:rsidRDefault="003B4671" w:rsidP="003B4671">
      <w:pPr>
        <w:pStyle w:val="Paragraphedeliste"/>
        <w:bidi/>
        <w:ind w:left="357"/>
        <w:jc w:val="left"/>
        <w:rPr>
          <w:rFonts w:cs="Arabic Transparent"/>
          <w:b/>
          <w:bCs/>
          <w:sz w:val="12"/>
          <w:szCs w:val="10"/>
          <w:rtl/>
          <w:lang w:bidi="ar-MA"/>
        </w:rPr>
      </w:pPr>
    </w:p>
    <w:p w:rsidR="003B4671" w:rsidRPr="003B4671" w:rsidRDefault="003B4671" w:rsidP="003B4671">
      <w:pPr>
        <w:pStyle w:val="Paragraphedeliste"/>
        <w:numPr>
          <w:ilvl w:val="0"/>
          <w:numId w:val="1"/>
        </w:numPr>
        <w:bidi/>
        <w:ind w:left="567" w:hanging="208"/>
        <w:jc w:val="left"/>
        <w:rPr>
          <w:rFonts w:cs="Arabic Transparent"/>
          <w:b/>
          <w:bCs/>
          <w:color w:val="5F497A" w:themeColor="accent4" w:themeShade="BF"/>
          <w:sz w:val="32"/>
          <w:szCs w:val="28"/>
          <w:lang w:bidi="ar-MA"/>
        </w:rPr>
      </w:pPr>
      <w:r w:rsidRPr="003B4671">
        <w:rPr>
          <w:rFonts w:cs="Arabic Transparent" w:hint="cs"/>
          <w:b/>
          <w:bCs/>
          <w:color w:val="C0504D" w:themeColor="accent2"/>
          <w:sz w:val="32"/>
          <w:szCs w:val="28"/>
          <w:rtl/>
          <w:lang w:bidi="ar-MA"/>
        </w:rPr>
        <w:t>التكوين بالتدرج المهني</w:t>
      </w:r>
    </w:p>
    <w:p w:rsidR="003B4671" w:rsidRPr="003B4671" w:rsidRDefault="003B4671" w:rsidP="003B4671">
      <w:pPr>
        <w:bidi/>
        <w:ind w:left="-1"/>
        <w:jc w:val="both"/>
        <w:rPr>
          <w:rFonts w:cs="Arabic Transparent"/>
          <w:sz w:val="28"/>
          <w:szCs w:val="26"/>
          <w:rtl/>
          <w:lang w:bidi="ar-MA"/>
        </w:rPr>
      </w:pPr>
      <w:r w:rsidRPr="003B4671">
        <w:rPr>
          <w:rFonts w:cs="Arabic Transparent" w:hint="cs"/>
          <w:sz w:val="32"/>
          <w:szCs w:val="28"/>
          <w:rtl/>
          <w:lang w:bidi="ar-MA"/>
        </w:rPr>
        <w:t xml:space="preserve">   </w:t>
      </w:r>
      <w:r w:rsidRPr="003B4671">
        <w:rPr>
          <w:rFonts w:cs="Arabic Transparent" w:hint="cs"/>
          <w:sz w:val="28"/>
          <w:szCs w:val="26"/>
          <w:rtl/>
          <w:lang w:bidi="ar-MA"/>
        </w:rPr>
        <w:t xml:space="preserve">    يرتكز </w:t>
      </w:r>
      <w:r w:rsidRPr="003B4671">
        <w:rPr>
          <w:rFonts w:cs="Arabic Transparent" w:hint="cs"/>
          <w:b/>
          <w:bCs/>
          <w:sz w:val="28"/>
          <w:szCs w:val="26"/>
          <w:rtl/>
          <w:lang w:bidi="ar-MA"/>
        </w:rPr>
        <w:t>التكوين بالتدرج المهني</w:t>
      </w:r>
      <w:r w:rsidRPr="003B4671">
        <w:rPr>
          <w:rFonts w:cs="Arabic Transparent" w:hint="cs"/>
          <w:sz w:val="28"/>
          <w:szCs w:val="26"/>
          <w:rtl/>
          <w:lang w:bidi="ar-MA"/>
        </w:rPr>
        <w:t xml:space="preserve">  المنظم بموجب </w:t>
      </w:r>
      <w:r w:rsidRPr="0069207E">
        <w:rPr>
          <w:rFonts w:cs="Arabic Transparent" w:hint="cs"/>
          <w:color w:val="0070C0"/>
          <w:sz w:val="28"/>
          <w:szCs w:val="26"/>
          <w:u w:val="single"/>
          <w:rtl/>
          <w:lang w:bidi="ar-MA"/>
        </w:rPr>
        <w:t>قانون 12.00</w:t>
      </w:r>
      <w:r w:rsidRPr="003B4671">
        <w:rPr>
          <w:rFonts w:cs="Arabic Transparent" w:hint="cs"/>
          <w:sz w:val="28"/>
          <w:szCs w:val="26"/>
          <w:rtl/>
          <w:lang w:bidi="ar-MA"/>
        </w:rPr>
        <w:t xml:space="preserve"> على تكوين تطبيقي يتم </w:t>
      </w:r>
      <w:r w:rsidRPr="003B4671">
        <w:rPr>
          <w:rFonts w:cs="Arabic Transparent" w:hint="cs"/>
          <w:b/>
          <w:bCs/>
          <w:sz w:val="28"/>
          <w:szCs w:val="26"/>
          <w:rtl/>
          <w:lang w:bidi="ar-MA"/>
        </w:rPr>
        <w:t>بالمقاولة بنسبة 80</w:t>
      </w:r>
      <w:r w:rsidRPr="003B4671">
        <w:rPr>
          <w:rFonts w:cs="Arabic Transparent"/>
          <w:b/>
          <w:bCs/>
          <w:sz w:val="28"/>
          <w:szCs w:val="26"/>
          <w:lang w:bidi="ar-MA"/>
        </w:rPr>
        <w:t>%</w:t>
      </w:r>
      <w:r w:rsidRPr="003B4671">
        <w:rPr>
          <w:rFonts w:cs="Arabic Transparent" w:hint="cs"/>
          <w:b/>
          <w:bCs/>
          <w:sz w:val="28"/>
          <w:szCs w:val="26"/>
          <w:rtl/>
          <w:lang w:bidi="ar-MA"/>
        </w:rPr>
        <w:t xml:space="preserve"> على الأقل من مدته الإجمالية</w:t>
      </w:r>
      <w:r w:rsidRPr="003B4671">
        <w:rPr>
          <w:rFonts w:cs="Arabic Transparent" w:hint="cs"/>
          <w:sz w:val="28"/>
          <w:szCs w:val="26"/>
          <w:rtl/>
          <w:lang w:bidi="ar-MA"/>
        </w:rPr>
        <w:t>، و يتم بنسبة 10</w:t>
      </w:r>
      <w:r w:rsidRPr="003B4671">
        <w:rPr>
          <w:rFonts w:cs="Arabic Transparent"/>
          <w:sz w:val="28"/>
          <w:szCs w:val="26"/>
          <w:lang w:bidi="ar-MA"/>
        </w:rPr>
        <w:t>%</w:t>
      </w:r>
      <w:r w:rsidRPr="003B4671">
        <w:rPr>
          <w:rFonts w:cs="Arabic Transparent" w:hint="cs"/>
          <w:sz w:val="28"/>
          <w:szCs w:val="26"/>
          <w:rtl/>
          <w:lang w:bidi="ar-MA"/>
        </w:rPr>
        <w:t xml:space="preserve"> على الأقل من هذه المدة بتكوين تكميلي عام و تكنولوجي منظم بمراكز التكوين بالتدرج المهني. </w:t>
      </w:r>
    </w:p>
    <w:p w:rsidR="003B4671" w:rsidRPr="003B4671" w:rsidRDefault="003B4671" w:rsidP="003B4671">
      <w:pPr>
        <w:bidi/>
        <w:spacing w:before="120" w:after="120"/>
        <w:ind w:left="-1" w:firstLine="709"/>
        <w:jc w:val="both"/>
        <w:rPr>
          <w:rFonts w:cs="Arabic Transparent"/>
          <w:sz w:val="28"/>
          <w:szCs w:val="26"/>
          <w:rtl/>
          <w:lang w:bidi="ar-MA"/>
        </w:rPr>
      </w:pPr>
      <w:r w:rsidRPr="003B4671">
        <w:rPr>
          <w:rFonts w:cs="Arabic Transparent" w:hint="cs"/>
          <w:sz w:val="28"/>
          <w:szCs w:val="26"/>
          <w:rtl/>
          <w:lang w:bidi="ar-MA"/>
        </w:rPr>
        <w:t xml:space="preserve">ويستهدف هذا النمط من التكوين بالأساس </w:t>
      </w:r>
      <w:r w:rsidRPr="003B4671">
        <w:rPr>
          <w:rFonts w:cs="Arabic Transparent" w:hint="cs"/>
          <w:b/>
          <w:bCs/>
          <w:sz w:val="28"/>
          <w:szCs w:val="26"/>
          <w:rtl/>
          <w:lang w:bidi="ar-MA"/>
        </w:rPr>
        <w:t xml:space="preserve">الشباب الذين لا يتوفرون بالضرورة على الشروط المطلوبة لولوج التكوين المهني (المستوى الدراسي والسن المطلوبة) وذلك بهدف تمكينهم من الحصول على الكفاءات الضرورية لممارسة نشاط مهني. </w:t>
      </w:r>
      <w:r w:rsidRPr="003B4671">
        <w:rPr>
          <w:rFonts w:cs="Arabic Transparent" w:hint="cs"/>
          <w:sz w:val="28"/>
          <w:szCs w:val="26"/>
          <w:rtl/>
          <w:lang w:bidi="ar-MA"/>
        </w:rPr>
        <w:t>كما يساهم هذا النمط في الحفاظ على بعض حرف الصناعة التقليدية من الانقراض وتمكين الشباب القروي من تكوين يتلاءم مع خصوصيات الوسط القروي.</w:t>
      </w:r>
    </w:p>
    <w:p w:rsidR="003B4671" w:rsidRPr="003B4671" w:rsidRDefault="003B4671" w:rsidP="003B4671">
      <w:pPr>
        <w:bidi/>
        <w:spacing w:before="120" w:after="120"/>
        <w:ind w:left="-1" w:firstLine="567"/>
        <w:jc w:val="both"/>
        <w:rPr>
          <w:rFonts w:cs="Arabic Transparent"/>
          <w:b/>
          <w:bCs/>
          <w:sz w:val="28"/>
          <w:szCs w:val="26"/>
          <w:rtl/>
          <w:lang w:bidi="ar-MA"/>
        </w:rPr>
      </w:pPr>
      <w:r w:rsidRPr="003B4671">
        <w:rPr>
          <w:rFonts w:cs="Arabic Transparent" w:hint="cs"/>
          <w:sz w:val="32"/>
          <w:szCs w:val="28"/>
          <w:rtl/>
          <w:lang w:bidi="ar-MA"/>
        </w:rPr>
        <w:t xml:space="preserve"> </w:t>
      </w:r>
      <w:r w:rsidRPr="003B4671">
        <w:rPr>
          <w:rFonts w:cs="Arabic Transparent" w:hint="cs"/>
          <w:b/>
          <w:bCs/>
          <w:sz w:val="28"/>
          <w:szCs w:val="26"/>
          <w:rtl/>
          <w:lang w:bidi="ar-MA"/>
        </w:rPr>
        <w:t>وتخضع علاقة التكوين بالتدرج المهني لعقد يبرم بين المتدرج أو ولي أمره والمقاولة ويقوم بتأطير المتدرج داخل المقاولة مؤطر للتدرج المهني يتم تعيينه لهذا الغرض .</w:t>
      </w:r>
    </w:p>
    <w:p w:rsidR="003B4671" w:rsidRPr="003B4671" w:rsidRDefault="003B4671" w:rsidP="003B4671">
      <w:pPr>
        <w:rPr>
          <w:sz w:val="24"/>
          <w:lang w:bidi="ar-MA"/>
        </w:rPr>
      </w:pPr>
    </w:p>
    <w:p w:rsidR="003B4671" w:rsidRPr="003B4671" w:rsidRDefault="003B4671" w:rsidP="003B4671">
      <w:pPr>
        <w:rPr>
          <w:sz w:val="24"/>
          <w:lang w:bidi="ar-MA"/>
        </w:rPr>
      </w:pPr>
    </w:p>
    <w:p w:rsidR="00A23B9C" w:rsidRPr="003B4671" w:rsidRDefault="00A23B9C">
      <w:pPr>
        <w:rPr>
          <w:sz w:val="24"/>
        </w:rPr>
      </w:pPr>
    </w:p>
    <w:sectPr w:rsidR="00A23B9C" w:rsidRPr="003B4671" w:rsidSect="00101C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35294"/>
    <w:multiLevelType w:val="hybridMultilevel"/>
    <w:tmpl w:val="0810BB42"/>
    <w:lvl w:ilvl="0" w:tplc="3B709EA8">
      <w:start w:val="3"/>
      <w:numFmt w:val="bullet"/>
      <w:lvlText w:val="-"/>
      <w:lvlJc w:val="left"/>
      <w:pPr>
        <w:ind w:left="643" w:hanging="360"/>
      </w:pPr>
      <w:rPr>
        <w:rFonts w:ascii="Calibri" w:eastAsia="Calibri" w:hAnsi="Calibri" w:cs="Arabic Transparen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nsid w:val="68A268FC"/>
    <w:multiLevelType w:val="hybridMultilevel"/>
    <w:tmpl w:val="EDF0D2D8"/>
    <w:lvl w:ilvl="0" w:tplc="64BE3038">
      <w:start w:val="2"/>
      <w:numFmt w:val="bullet"/>
      <w:lvlText w:val="-"/>
      <w:lvlJc w:val="left"/>
      <w:pPr>
        <w:ind w:left="719" w:hanging="360"/>
      </w:pPr>
      <w:rPr>
        <w:rFonts w:ascii="Calibri" w:eastAsia="Calibri" w:hAnsi="Calibri" w:cs="Arabic Transparent" w:hint="default"/>
        <w:color w:val="C0504D" w:themeColor="accent2"/>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B4671"/>
    <w:rsid w:val="00101C05"/>
    <w:rsid w:val="003B4671"/>
    <w:rsid w:val="0069207E"/>
    <w:rsid w:val="00900052"/>
    <w:rsid w:val="00A23B9C"/>
    <w:rsid w:val="00AF17A4"/>
    <w:rsid w:val="00F35A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
    <w:basedOn w:val="Normal"/>
    <w:link w:val="ParagraphedelisteCar"/>
    <w:uiPriority w:val="34"/>
    <w:qFormat/>
    <w:rsid w:val="003B4671"/>
    <w:pPr>
      <w:spacing w:after="0" w:line="240" w:lineRule="auto"/>
      <w:ind w:left="720"/>
      <w:contextualSpacing/>
      <w:jc w:val="right"/>
    </w:pPr>
    <w:rPr>
      <w:rFonts w:ascii="Calibri" w:eastAsia="Times New Roman" w:hAnsi="Calibri" w:cs="Times New Roman"/>
      <w:lang w:eastAsia="en-US"/>
    </w:rPr>
  </w:style>
  <w:style w:type="character" w:customStyle="1" w:styleId="ParagraphedelisteCar">
    <w:name w:val="Paragraphe de liste Car"/>
    <w:aliases w:val="Paragraphe de liste du rapport Car"/>
    <w:basedOn w:val="Policepardfaut"/>
    <w:link w:val="Paragraphedeliste"/>
    <w:uiPriority w:val="34"/>
    <w:rsid w:val="003B4671"/>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71822DA2CBD048A4322834578B33FC" ma:contentTypeVersion="1" ma:contentTypeDescription="Crée un document." ma:contentTypeScope="" ma:versionID="bb8321cc11b103c38ca2b12beee3e6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0AFD7-642B-4617-92F8-C1F8DE8FDB21}"/>
</file>

<file path=customXml/itemProps2.xml><?xml version="1.0" encoding="utf-8"?>
<ds:datastoreItem xmlns:ds="http://schemas.openxmlformats.org/officeDocument/2006/customXml" ds:itemID="{433EECB7-0D97-4E8E-96A2-3E5B683A707F}"/>
</file>

<file path=customXml/itemProps3.xml><?xml version="1.0" encoding="utf-8"?>
<ds:datastoreItem xmlns:ds="http://schemas.openxmlformats.org/officeDocument/2006/customXml" ds:itemID="{294D362A-A414-4852-AD3A-FAE0425DADFA}"/>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1259</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b.chenguiti</dc:creator>
  <cp:keywords/>
  <dc:description/>
  <cp:lastModifiedBy>sanae.elmerrouni</cp:lastModifiedBy>
  <cp:revision>2</cp:revision>
  <dcterms:created xsi:type="dcterms:W3CDTF">2014-05-21T08:05:00Z</dcterms:created>
  <dcterms:modified xsi:type="dcterms:W3CDTF">2014-05-21T08:05:00Z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0x0101000D71822DA2CBD048A4322834578B33FC</vt:lpwstr>
  </property>
  <property fmtid="{D5CDD505-2E9C-101B-9397-08002B2CF9AE}" pid="3" name="Order">
    <vt:r8>300</vt:r8>
  </property>
  <property fmtid="{D5CDD505-2E9C-101B-9397-08002B2CF9AE}" pid="4" name="xd_ProgID">
    <vt:lpwstr/>
  </property>
  <property fmtid="{D5CDD505-2E9C-101B-9397-08002B2CF9AE}" pid="5" name="_CopySource">
    <vt:lpwstr>http://orientation.men.gov.ma/fr/Documents/IntroductionAR.docx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